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комплекса услуг по информационному сопровождению АО «ЭнергосбыТ Плюс» в сети «Интернет»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 xml:space="preserve">АО </w:t>
      </w:r>
      <w:r w:rsidR="000B42D7">
        <w:t>«</w:t>
      </w:r>
      <w:r>
        <w:t>ЭнергосбыТ Плюс</w:t>
      </w:r>
      <w:r w:rsidR="000B42D7">
        <w:t>»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0B42D7" w:rsidRPr="00982B09" w:rsidRDefault="000B42D7" w:rsidP="000B42D7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t>Оказание комплекса услуг по информационному сопровождению АО «ЭнергосбыТ Плюс» в сети «Интернет»</w:t>
            </w:r>
            <w:r>
              <w:rPr>
                <w:i/>
              </w:rPr>
              <w:t xml:space="preserve"> </w:t>
            </w:r>
            <w:r w:rsidRPr="00982B09">
              <w:t>для</w:t>
            </w:r>
            <w:r>
              <w:rPr>
                <w:i/>
              </w:rPr>
              <w:t xml:space="preserve"> </w:t>
            </w:r>
            <w:r w:rsidRPr="00982B09">
              <w:t>нужд</w:t>
            </w:r>
            <w:r>
              <w:rPr>
                <w:i/>
              </w:rPr>
              <w:t xml:space="preserve"> </w:t>
            </w:r>
            <w:r>
              <w:t>АО «ЭнергосбыТ Плюс»</w:t>
            </w:r>
            <w:r w:rsidRPr="00982B0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  <w:p w:rsidR="00982B09" w:rsidRDefault="00982B09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0B42D7" w:rsidRPr="004A3B4B" w:rsidRDefault="000B42D7" w:rsidP="000B42D7">
            <w:pPr>
              <w:pStyle w:val="1"/>
              <w:tabs>
                <w:tab w:val="left" w:pos="426"/>
              </w:tabs>
              <w:rPr>
                <w:rFonts w:ascii="Tahoma" w:hAnsi="Tahoma" w:cs="Tahoma"/>
                <w:sz w:val="20"/>
              </w:rPr>
            </w:pPr>
            <w:r w:rsidRPr="004A3B4B">
              <w:rPr>
                <w:rFonts w:ascii="Tahoma" w:hAnsi="Tahoma" w:cs="Tahoma"/>
                <w:b/>
                <w:sz w:val="20"/>
              </w:rPr>
              <w:t>Регионы оказания комплекса услуг</w:t>
            </w:r>
          </w:p>
          <w:p w:rsidR="00982B09" w:rsidRPr="00982B09" w:rsidRDefault="000B42D7" w:rsidP="000B42D7">
            <w:pPr>
              <w:pStyle w:val="1"/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</w:rPr>
            </w:pPr>
            <w:r w:rsidRPr="004A3B4B">
              <w:rPr>
                <w:rFonts w:ascii="Tahoma" w:hAnsi="Tahoma" w:cs="Tahoma"/>
                <w:sz w:val="20"/>
              </w:rPr>
              <w:t>Москва, Владимирская область, Ивановская область, Кировская область, республика Коми, республика Марий Эл, республика Чувашия, Пензенская область, республика Мордовия, Нижегородская область, Пермский край, Свердловская область, Саратовская область, Самарская область, республика Удмуртия, Ульяновская</w:t>
            </w:r>
            <w:r>
              <w:rPr>
                <w:rFonts w:ascii="Tahoma" w:hAnsi="Tahoma" w:cs="Tahoma"/>
                <w:sz w:val="20"/>
              </w:rPr>
              <w:t xml:space="preserve"> область, Оренбургская область.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CE59E2" w:rsidRDefault="000B42D7" w:rsidP="00CE59E2">
            <w:pPr>
              <w:autoSpaceDE w:val="0"/>
              <w:autoSpaceDN w:val="0"/>
              <w:spacing w:before="40" w:after="40"/>
            </w:pPr>
            <w:bookmarkStart w:id="0" w:name="_GoBack"/>
            <w:r w:rsidRPr="000B42D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Общий срок оказания Услуг</w:t>
            </w:r>
            <w:r w:rsidR="00CE59E2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:</w:t>
            </w:r>
            <w:r w:rsidRPr="000B42D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="00CE59E2">
              <w:rPr>
                <w:rFonts w:ascii="Tahoma" w:hAnsi="Tahoma" w:cs="Tahoma"/>
                <w:sz w:val="20"/>
                <w:szCs w:val="20"/>
              </w:rPr>
              <w:t>в течение 12 месяцев с даты заключения договора</w:t>
            </w:r>
            <w:r w:rsidR="00CE59E2">
              <w:rPr>
                <w:rFonts w:ascii="Tahoma" w:hAnsi="Tahoma" w:cs="Tahoma"/>
                <w:sz w:val="20"/>
                <w:szCs w:val="20"/>
              </w:rPr>
              <w:t>.</w:t>
            </w:r>
          </w:p>
          <w:bookmarkEnd w:id="0"/>
          <w:p w:rsidR="000B42D7" w:rsidRPr="000B42D7" w:rsidRDefault="000B42D7" w:rsidP="00545518">
            <w:pPr>
              <w:shd w:val="clear" w:color="auto" w:fill="FFFFFF"/>
              <w:tabs>
                <w:tab w:val="num" w:pos="851"/>
              </w:tabs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Услуги должны оказываться в соответствии со сроками и периодичностью, установленными Приложением №</w:t>
            </w:r>
            <w:r w:rsid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к настоящему Техническому заданию.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545518" w:rsidRDefault="000B42D7" w:rsidP="00982B09">
            <w:pPr>
              <w:spacing w:line="276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соответствии с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Приложением №</w:t>
            </w:r>
            <w:r w:rsid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1-2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к настоящему Техническому заданию</w:t>
            </w:r>
            <w:r w:rsid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 Статьей 5 Проекта Договора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545518" w:rsidRDefault="00545518" w:rsidP="00982B09">
            <w:pPr>
              <w:spacing w:line="276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соответствии с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Приложением №1-2 к настоящему Техническому заданию Статьей 5 Проекта Договора.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545518" w:rsidRPr="00545518" w:rsidRDefault="00545518" w:rsidP="00545518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outlineLvl w:val="2"/>
              <w:rPr>
                <w:rFonts w:ascii="Tahoma" w:hAnsi="Tahoma" w:cs="Tahoma"/>
                <w:bCs w:val="0"/>
                <w:color w:val="000000" w:themeColor="text1"/>
                <w:sz w:val="20"/>
                <w:szCs w:val="20"/>
              </w:rPr>
            </w:pPr>
            <w:r w:rsidRPr="00545518">
              <w:rPr>
                <w:rFonts w:ascii="Tahoma" w:hAnsi="Tahoma" w:cs="Tahoma"/>
                <w:bCs w:val="0"/>
                <w:color w:val="000000" w:themeColor="text1"/>
                <w:sz w:val="20"/>
                <w:szCs w:val="20"/>
              </w:rPr>
              <w:t>Гарантии качества</w:t>
            </w:r>
          </w:p>
          <w:p w:rsidR="00545518" w:rsidRPr="00545518" w:rsidRDefault="00545518" w:rsidP="00545518">
            <w:pPr>
              <w:widowControl w:val="0"/>
              <w:numPr>
                <w:ilvl w:val="1"/>
                <w:numId w:val="9"/>
              </w:numPr>
              <w:tabs>
                <w:tab w:val="clear" w:pos="1866"/>
              </w:tabs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545518" w:rsidRPr="00545518" w:rsidRDefault="00545518" w:rsidP="00545518">
            <w:pPr>
              <w:widowControl w:val="0"/>
              <w:numPr>
                <w:ilvl w:val="1"/>
                <w:numId w:val="9"/>
              </w:numPr>
              <w:tabs>
                <w:tab w:val="clear" w:pos="1866"/>
              </w:tabs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Если в период </w:t>
            </w:r>
            <w:r w:rsidR="00D54C6D" w:rsidRPr="0054551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использования результатов</w:t>
            </w:r>
            <w:r w:rsidRPr="0054551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</w:t>
            </w:r>
          </w:p>
          <w:p w:rsidR="00545518" w:rsidRPr="00545518" w:rsidRDefault="00545518" w:rsidP="00545518">
            <w:pPr>
              <w:widowControl w:val="0"/>
              <w:numPr>
                <w:ilvl w:val="1"/>
                <w:numId w:val="9"/>
              </w:numPr>
              <w:tabs>
                <w:tab w:val="clear" w:pos="1866"/>
              </w:tabs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545518" w:rsidRPr="00545518" w:rsidRDefault="00545518" w:rsidP="00545518">
            <w:pPr>
              <w:widowControl w:val="0"/>
              <w:numPr>
                <w:ilvl w:val="1"/>
                <w:numId w:val="9"/>
              </w:numPr>
              <w:shd w:val="clear" w:color="auto" w:fill="FFFFFF"/>
              <w:tabs>
                <w:tab w:val="clear" w:pos="1866"/>
                <w:tab w:val="num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545518" w:rsidRPr="00545518" w:rsidRDefault="00545518" w:rsidP="00545518">
            <w:pPr>
              <w:widowControl w:val="0"/>
              <w:numPr>
                <w:ilvl w:val="0"/>
                <w:numId w:val="10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545518" w:rsidRPr="00545518" w:rsidRDefault="00545518" w:rsidP="00545518">
            <w:pPr>
              <w:widowControl w:val="0"/>
              <w:numPr>
                <w:ilvl w:val="0"/>
                <w:numId w:val="10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545518" w:rsidRPr="00545518" w:rsidRDefault="00545518" w:rsidP="00545518">
            <w:pPr>
              <w:widowControl w:val="0"/>
              <w:numPr>
                <w:ilvl w:val="0"/>
                <w:numId w:val="10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82B09" w:rsidRPr="00982B09" w:rsidRDefault="00545518" w:rsidP="00545518">
            <w:pPr>
              <w:numPr>
                <w:ilvl w:val="1"/>
                <w:numId w:val="9"/>
              </w:numPr>
              <w:shd w:val="clear" w:color="auto" w:fill="FFFFFF"/>
              <w:tabs>
                <w:tab w:val="clear" w:pos="1866"/>
                <w:tab w:val="num" w:pos="567"/>
              </w:tabs>
              <w:spacing w:line="276" w:lineRule="auto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В случае разногласий по поводу недостатков оказанных Услуг или причин их возникновения, Исполнитель 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организации, </w:t>
            </w:r>
            <w:r w:rsidRPr="00545518">
              <w:rPr>
                <w:rFonts w:ascii="Tahoma" w:eastAsiaTheme="minorEastAsia" w:hAnsi="Tahoma" w:cs="Tahoma"/>
                <w:i/>
                <w:sz w:val="20"/>
                <w:szCs w:val="20"/>
                <w:lang w:eastAsia="ru-RU"/>
              </w:rPr>
              <w:t>согласованной Сторонами.</w:t>
            </w:r>
            <w:r w:rsidRPr="0054551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982B09" w:rsidRDefault="005960DB" w:rsidP="005960D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Результатом оказанных Услуг </w:t>
            </w: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является информационное сопровождение АО «ЭнергосбыТ Плюс» в сети «Интернет» с целью поддержания положительного имиджа Заказчика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5960DB" w:rsidRPr="005960DB" w:rsidRDefault="005960DB" w:rsidP="005960D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Приемка оказанных Услуг</w:t>
            </w:r>
          </w:p>
          <w:p w:rsidR="005960DB" w:rsidRPr="005960DB" w:rsidRDefault="005960DB" w:rsidP="005960DB">
            <w:pPr>
              <w:pStyle w:val="a4"/>
              <w:numPr>
                <w:ilvl w:val="2"/>
                <w:numId w:val="9"/>
              </w:numPr>
              <w:tabs>
                <w:tab w:val="clear" w:pos="2292"/>
                <w:tab w:val="num" w:pos="37"/>
              </w:tabs>
              <w:ind w:left="37" w:firstLine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ежемесячно Исполнитель обязан незамедлительно уведомить Заказчика о готовности к сдаче оказанных Услуг. 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за месяц Услуг два экземпляра Акта сдачи-приемки оказанных за месяц Услуг, подписанных Исполнителем, ежемесячный Отчет, подписанный Исполнителем по форме Приложения №3 к Договору. 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обязан в срок не более 7 (семи) рабочих дней с момента предъявления Исполнителем акта оказанных за месяц Услуг и документов, указанных в п.5.2.3. Договора, с участием представителей Исполнителя осмотреть и принять оказанные Услуги.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за месяц Услуг слуг путем подписания акта сдачи-приемки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оказанных Услуг.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5960DB" w:rsidRPr="005960DB" w:rsidRDefault="005960DB" w:rsidP="005960DB">
            <w:pPr>
              <w:widowControl w:val="0"/>
              <w:numPr>
                <w:ilvl w:val="2"/>
                <w:numId w:val="9"/>
              </w:numPr>
              <w:shd w:val="clear" w:color="auto" w:fill="FFFFFF"/>
              <w:tabs>
                <w:tab w:val="clear" w:pos="2292"/>
                <w:tab w:val="num" w:pos="709"/>
                <w:tab w:val="num" w:pos="993"/>
                <w:tab w:val="num" w:pos="156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5960D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случайного повреждения результата оказанных Услуг до окончательной приемки Услуг Заказчиком. 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982B09" w:rsidRDefault="005960DB" w:rsidP="00982B09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установлено.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206" w:rsidRDefault="00D13206" w:rsidP="002775CB">
      <w:pPr>
        <w:spacing w:after="0" w:line="240" w:lineRule="auto"/>
      </w:pPr>
      <w:r>
        <w:separator/>
      </w:r>
    </w:p>
  </w:endnote>
  <w:endnote w:type="continuationSeparator" w:id="0">
    <w:p w:rsidR="00D13206" w:rsidRDefault="00D13206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206" w:rsidRDefault="00D13206" w:rsidP="002775CB">
      <w:pPr>
        <w:spacing w:after="0" w:line="240" w:lineRule="auto"/>
      </w:pPr>
      <w:r>
        <w:separator/>
      </w:r>
    </w:p>
  </w:footnote>
  <w:footnote w:type="continuationSeparator" w:id="0">
    <w:p w:rsidR="00D13206" w:rsidRDefault="00D13206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31216"/>
    <w:multiLevelType w:val="multilevel"/>
    <w:tmpl w:val="E12C0C4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  <w:u w:val="single"/>
      </w:r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F5F33A3"/>
    <w:multiLevelType w:val="multilevel"/>
    <w:tmpl w:val="1B5A8AE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92"/>
        </w:tabs>
        <w:ind w:left="2292" w:hanging="1440"/>
      </w:pPr>
      <w:rPr>
        <w:rFonts w:ascii="Tahoma" w:eastAsiaTheme="minorEastAsia" w:hAnsi="Tahoma" w:cs="Tahoma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B42D7"/>
    <w:rsid w:val="001D1F55"/>
    <w:rsid w:val="002775CB"/>
    <w:rsid w:val="00324254"/>
    <w:rsid w:val="003F023C"/>
    <w:rsid w:val="00466AB3"/>
    <w:rsid w:val="00545518"/>
    <w:rsid w:val="00586744"/>
    <w:rsid w:val="005960DB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CE59E2"/>
    <w:rsid w:val="00D13206"/>
    <w:rsid w:val="00D54C6D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9D02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54551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Num Bullet 1,Bullet Number,Индексы,Заголовок_3,Bullet_IRAO,Мой Список,AC List 01,Подпись рисунка,Table-Normal,RSHB_Table-Normal,List Paragraph1,Абзац списка литеральный,it_List1,Bullet List,FooterText,numbered,Paragraphe de liste1,lp1,та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customStyle="1" w:styleId="1">
    <w:name w:val="Обычный1"/>
    <w:rsid w:val="000B42D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5518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aliases w:val="Num Bullet 1 Знак,Bullet Number Знак,Индексы Знак,Заголовок_3 Знак,Bullet_IRAO Знак,Мой Список Знак,AC List 01 Знак,Подпись рисунка Знак,Table-Normal Знак,RSHB_Table-Normal Знак,List Paragraph1 Знак,Абзац списка литеральный Знак"/>
    <w:basedOn w:val="a0"/>
    <w:link w:val="a4"/>
    <w:uiPriority w:val="34"/>
    <w:locked/>
    <w:rsid w:val="00545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Торопчин Максим Михайлович</cp:lastModifiedBy>
  <cp:revision>25</cp:revision>
  <dcterms:created xsi:type="dcterms:W3CDTF">2021-02-15T09:58:00Z</dcterms:created>
  <dcterms:modified xsi:type="dcterms:W3CDTF">2024-05-02T08:18:00Z</dcterms:modified>
</cp:coreProperties>
</file>